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B7725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52537A" w:rsidRPr="00B77251" w:rsidRDefault="00B77251" w:rsidP="00B7725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lang w:eastAsia="zh-CN"/>
              </w:rPr>
              <w:t>председатель правления</w:t>
            </w:r>
          </w:p>
          <w:p w:rsidR="00B77251" w:rsidRPr="00B7725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 </w:t>
            </w:r>
            <w:r w:rsidR="00A350CF" w:rsidRPr="00B77251">
              <w:rPr>
                <w:rFonts w:ascii="Times New Roman" w:eastAsia="SimSun" w:hAnsi="Times New Roman" w:cs="Times New Roman"/>
                <w:lang w:eastAsia="zh-CN"/>
              </w:rPr>
              <w:t xml:space="preserve">     </w:t>
            </w:r>
            <w:r w:rsidR="00B77251" w:rsidRPr="00B7725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350CF" w:rsidRPr="00B7725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52537A" w:rsidRPr="00B7725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(личная подпись лица, утверждающего документацию)</w:t>
            </w:r>
          </w:p>
          <w:p w:rsidR="00B77251" w:rsidRPr="00B77251" w:rsidRDefault="00B77251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52537A" w:rsidRPr="00B77251" w:rsidRDefault="00B77251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lang w:eastAsia="zh-CN"/>
              </w:rPr>
              <w:t xml:space="preserve">Сергей Валентинович Кельбах </w:t>
            </w:r>
          </w:p>
          <w:p w:rsidR="0052537A" w:rsidRPr="00B7725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(Имя, отчество, фамилия лица, утверждающего документацию)</w:t>
            </w:r>
          </w:p>
          <w:p w:rsidR="0052537A" w:rsidRPr="00B7725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77251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(дата указывается словесно-цифровым способом)</w:t>
            </w: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B77251" w:rsidRPr="00474B6B" w:rsidRDefault="00B77251" w:rsidP="00B7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6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Chelushkin</w:t>
            </w:r>
            <w:proofErr w:type="spellEnd"/>
            <w:r w:rsidRPr="00474B6B">
              <w:rPr>
                <w:rFonts w:ascii="Times New Roman" w:hAnsi="Times New Roman" w:cs="Times New Roman"/>
                <w:sz w:val="20"/>
                <w:szCs w:val="20"/>
              </w:rPr>
              <w:t>@russianhighways.ru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B77251" w:rsidRPr="00474B6B" w:rsidRDefault="00B77251" w:rsidP="00B7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Чёлушкин Егор Андреевич</w:t>
            </w:r>
          </w:p>
        </w:tc>
      </w:tr>
      <w:tr w:rsidR="00B77251" w:rsidRPr="004B716A" w:rsidTr="00B77018">
        <w:trPr>
          <w:trHeight w:val="192"/>
        </w:trPr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B77251" w:rsidRPr="00474B6B" w:rsidRDefault="00B77251" w:rsidP="00B7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B6B">
              <w:rPr>
                <w:rFonts w:ascii="Times New Roman" w:hAnsi="Times New Roman" w:cs="Times New Roman"/>
                <w:sz w:val="20"/>
                <w:szCs w:val="20"/>
              </w:rPr>
              <w:t>8 (495)-727-11-95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4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474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251" w:rsidRPr="004B716A" w:rsidTr="00B77018">
        <w:trPr>
          <w:trHeight w:val="945"/>
        </w:trPr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выбора способа закупки </w:t>
            </w:r>
            <w:r w:rsidRPr="00B77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B77251" w:rsidRPr="006F516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закупочной деятельности Государственной компании «Российские автомобильные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оги» (утверждённого приказом № 95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г.)</w:t>
            </w:r>
          </w:p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77251" w:rsidRPr="004B716A" w:rsidTr="00B77251">
        <w:trPr>
          <w:trHeight w:val="609"/>
        </w:trPr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</w:t>
            </w:r>
            <w:proofErr w:type="spellStart"/>
            <w:r w:rsidRP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Государственной компании "Автодор", РТП 4.7.1,  для электроснабжения инфраструктуры объекта  "Строительство Центральной кольцевой автомобильной дороги Московской области (с последующей эксплуатацией на платной основе). Пусковой комплекс (этап строительства) №4." расположенных по адресу: Московская обл., Раменский район, ПК 2035.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35.12.10.120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B77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618,9 кВт</w:t>
            </w:r>
          </w:p>
        </w:tc>
      </w:tr>
      <w:tr w:rsidR="00B77251" w:rsidRPr="004B716A" w:rsidTr="00ED32DB">
        <w:trPr>
          <w:trHeight w:val="632"/>
        </w:trPr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B77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095" w:type="dxa"/>
          </w:tcPr>
          <w:p w:rsidR="00B77251" w:rsidRPr="004B716A" w:rsidRDefault="00ED32DB" w:rsidP="00ED32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2016 - Декабрь</w:t>
            </w:r>
            <w:r w:rsid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bookmarkStart w:id="5" w:name="_GoBack"/>
            <w:bookmarkEnd w:id="5"/>
          </w:p>
        </w:tc>
      </w:tr>
      <w:tr w:rsidR="00B77251" w:rsidRPr="004B716A" w:rsidTr="00B77018">
        <w:tc>
          <w:tcPr>
            <w:tcW w:w="42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B77251" w:rsidRPr="00B77251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</w:t>
            </w: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B77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действующим законодательством РФ и нормативными требованиями ГК "Автодор".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</w:tcPr>
          <w:p w:rsidR="00B77251" w:rsidRPr="006F516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36 998 026,98 (тридцать шесть миллионов девятьсот девяносто восемь тысяч двадцать шесть рублей 98 копеек)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 электронного документа.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B77251" w:rsidRPr="004B716A" w:rsidTr="00B77018">
        <w:tc>
          <w:tcPr>
            <w:tcW w:w="425" w:type="dxa"/>
          </w:tcPr>
          <w:p w:rsidR="00B77251" w:rsidRPr="002C131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395" w:type="dxa"/>
          </w:tcPr>
          <w:p w:rsidR="00B77251" w:rsidRPr="00A350CF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7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B77251" w:rsidRPr="004B716A" w:rsidRDefault="00B77251" w:rsidP="00B772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2C131A"/>
    <w:rsid w:val="00460D25"/>
    <w:rsid w:val="004950C6"/>
    <w:rsid w:val="004B716A"/>
    <w:rsid w:val="0052537A"/>
    <w:rsid w:val="006F516F"/>
    <w:rsid w:val="00A350CF"/>
    <w:rsid w:val="00B77018"/>
    <w:rsid w:val="00B77251"/>
    <w:rsid w:val="00DB2BB3"/>
    <w:rsid w:val="00E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Чёлушкин Егор Андреевич</cp:lastModifiedBy>
  <cp:revision>2</cp:revision>
  <cp:lastPrinted>2016-12-23T14:34:00Z</cp:lastPrinted>
  <dcterms:created xsi:type="dcterms:W3CDTF">2016-12-23T15:02:00Z</dcterms:created>
  <dcterms:modified xsi:type="dcterms:W3CDTF">2016-12-23T15:02:00Z</dcterms:modified>
</cp:coreProperties>
</file>