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D0" w:rsidRDefault="00E01BD0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E01BD0" w:rsidRDefault="00E01BD0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8919DE" w:rsidRDefault="0085033F" w:rsidP="00C539D4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Начальная (максимальная) цена д</w:t>
      </w:r>
      <w:r w:rsidR="00F61AAD" w:rsidRPr="00F61AAD">
        <w:rPr>
          <w:rFonts w:ascii="Times New Roman" w:eastAsiaTheme="minorHAnsi" w:hAnsi="Times New Roman"/>
          <w:sz w:val="24"/>
          <w:szCs w:val="24"/>
        </w:rPr>
        <w:t xml:space="preserve">оговора на </w:t>
      </w:r>
      <w:r w:rsidR="00861E09" w:rsidRPr="00861E09">
        <w:rPr>
          <w:rFonts w:ascii="Times New Roman" w:eastAsiaTheme="minorHAnsi" w:hAnsi="Times New Roman"/>
          <w:sz w:val="24"/>
          <w:szCs w:val="24"/>
        </w:rPr>
        <w:t xml:space="preserve">Осуществление технологического присоединения </w:t>
      </w:r>
      <w:proofErr w:type="spellStart"/>
      <w:r w:rsidR="00861E09" w:rsidRPr="00861E09">
        <w:rPr>
          <w:rFonts w:ascii="Times New Roman" w:eastAsiaTheme="minorHAnsi" w:hAnsi="Times New Roman"/>
          <w:sz w:val="24"/>
          <w:szCs w:val="24"/>
        </w:rPr>
        <w:t>энергопринимающих</w:t>
      </w:r>
      <w:proofErr w:type="spellEnd"/>
      <w:r w:rsidR="00861E09" w:rsidRPr="00861E09">
        <w:rPr>
          <w:rFonts w:ascii="Times New Roman" w:eastAsiaTheme="minorHAnsi" w:hAnsi="Times New Roman"/>
          <w:sz w:val="24"/>
          <w:szCs w:val="24"/>
        </w:rPr>
        <w:t xml:space="preserve"> устройств Государственной компании "Автодор", РТП 4.7.1</w:t>
      </w:r>
      <w:proofErr w:type="gramStart"/>
      <w:r w:rsidR="00861E09" w:rsidRPr="00861E09">
        <w:rPr>
          <w:rFonts w:ascii="Times New Roman" w:eastAsiaTheme="minorHAnsi" w:hAnsi="Times New Roman"/>
          <w:sz w:val="24"/>
          <w:szCs w:val="24"/>
        </w:rPr>
        <w:t>,  для</w:t>
      </w:r>
      <w:proofErr w:type="gramEnd"/>
      <w:r w:rsidR="00861E09" w:rsidRPr="00861E09">
        <w:rPr>
          <w:rFonts w:ascii="Times New Roman" w:eastAsiaTheme="minorHAnsi" w:hAnsi="Times New Roman"/>
          <w:sz w:val="24"/>
          <w:szCs w:val="24"/>
        </w:rPr>
        <w:t xml:space="preserve"> электроснабжения инфраструктуры объекта  "Строительство Центральной кольцевой автомобильной дороги Московской области (с последующей эксплуатацией на платной основе). Пусковой комплекс (этап строительства) №4." расположенных по адресу: Московская</w:t>
      </w:r>
      <w:r w:rsidR="00861E09">
        <w:rPr>
          <w:rFonts w:ascii="Times New Roman" w:eastAsiaTheme="minorHAnsi" w:hAnsi="Times New Roman"/>
          <w:sz w:val="24"/>
          <w:szCs w:val="24"/>
        </w:rPr>
        <w:t xml:space="preserve"> обл., Раменский район, ПК 2035</w:t>
      </w:r>
      <w:r w:rsidR="00C539D4" w:rsidRPr="00C539D4">
        <w:rPr>
          <w:rFonts w:ascii="Times New Roman" w:eastAsiaTheme="minorHAnsi" w:hAnsi="Times New Roman"/>
          <w:sz w:val="24"/>
          <w:szCs w:val="24"/>
        </w:rPr>
        <w:t>"</w:t>
      </w:r>
      <w:r w:rsidR="00026310">
        <w:rPr>
          <w:rFonts w:ascii="Times New Roman" w:eastAsiaTheme="minorHAnsi" w:hAnsi="Times New Roman"/>
          <w:sz w:val="24"/>
          <w:szCs w:val="24"/>
        </w:rPr>
        <w:t>,</w:t>
      </w:r>
      <w:r w:rsidR="00F61AAD" w:rsidRPr="00F61AAD">
        <w:rPr>
          <w:rFonts w:ascii="Times New Roman" w:eastAsiaTheme="minorHAnsi" w:hAnsi="Times New Roman"/>
          <w:sz w:val="24"/>
          <w:szCs w:val="24"/>
        </w:rPr>
        <w:t xml:space="preserve">  была </w:t>
      </w:r>
      <w:r w:rsidR="00890DBD">
        <w:rPr>
          <w:rFonts w:ascii="Times New Roman" w:eastAsiaTheme="minorHAnsi" w:hAnsi="Times New Roman"/>
          <w:sz w:val="24"/>
          <w:szCs w:val="24"/>
        </w:rPr>
        <w:t>определена</w:t>
      </w:r>
      <w:r w:rsidR="001F2073">
        <w:rPr>
          <w:rFonts w:ascii="Times New Roman" w:eastAsiaTheme="minorHAnsi" w:hAnsi="Times New Roman"/>
          <w:sz w:val="24"/>
          <w:szCs w:val="24"/>
        </w:rPr>
        <w:t xml:space="preserve"> тарифным методом</w:t>
      </w:r>
      <w:r w:rsidR="00890DBD">
        <w:rPr>
          <w:rFonts w:ascii="Times New Roman" w:eastAsiaTheme="minorHAnsi" w:hAnsi="Times New Roman"/>
          <w:sz w:val="24"/>
          <w:szCs w:val="24"/>
        </w:rPr>
        <w:t xml:space="preserve"> </w:t>
      </w:r>
      <w:r w:rsidR="00D34B17">
        <w:rPr>
          <w:rFonts w:ascii="Times New Roman" w:eastAsiaTheme="minorHAnsi" w:hAnsi="Times New Roman"/>
          <w:sz w:val="24"/>
          <w:szCs w:val="24"/>
        </w:rPr>
        <w:t>в соответствии с п.</w:t>
      </w:r>
      <w:r w:rsidR="00394A07">
        <w:rPr>
          <w:rFonts w:ascii="Times New Roman" w:eastAsiaTheme="minorHAnsi" w:hAnsi="Times New Roman"/>
          <w:sz w:val="24"/>
          <w:szCs w:val="24"/>
        </w:rPr>
        <w:t xml:space="preserve"> 2</w:t>
      </w:r>
      <w:r w:rsidR="00D34B17">
        <w:rPr>
          <w:rFonts w:ascii="Times New Roman" w:eastAsiaTheme="minorHAnsi" w:hAnsi="Times New Roman"/>
          <w:sz w:val="24"/>
          <w:szCs w:val="24"/>
        </w:rPr>
        <w:t xml:space="preserve"> части 5 статьи 2.3 Порядка закупочной деятельности Государственной компании «Российские автомобильные дороги»,</w:t>
      </w:r>
      <w:r w:rsidR="00D34B17" w:rsidRPr="00D34B17">
        <w:rPr>
          <w:rFonts w:ascii="Times New Roman" w:eastAsiaTheme="minorHAnsi" w:hAnsi="Times New Roman"/>
          <w:sz w:val="24"/>
          <w:szCs w:val="24"/>
        </w:rPr>
        <w:t xml:space="preserve"> </w:t>
      </w:r>
      <w:r w:rsidR="00D34B17" w:rsidRPr="00F61AAD">
        <w:rPr>
          <w:rFonts w:ascii="Times New Roman" w:eastAsiaTheme="minorHAnsi" w:hAnsi="Times New Roman"/>
          <w:sz w:val="24"/>
          <w:szCs w:val="24"/>
        </w:rPr>
        <w:t>утвержденного решением наблюдательного совета Государственной компании (</w:t>
      </w:r>
      <w:r w:rsidR="00C539D4" w:rsidRPr="00C539D4">
        <w:rPr>
          <w:rFonts w:ascii="Times New Roman" w:eastAsiaTheme="minorHAnsi" w:hAnsi="Times New Roman"/>
          <w:sz w:val="24"/>
          <w:szCs w:val="24"/>
        </w:rPr>
        <w:t>протокол № 38 от 13.08.2012, с изменениями, оформленными протоколом № 84 от 30.11.2015</w:t>
      </w:r>
      <w:r w:rsidR="00D34B17" w:rsidRPr="00F61AAD">
        <w:rPr>
          <w:rFonts w:ascii="Times New Roman" w:eastAsiaTheme="minorHAnsi" w:hAnsi="Times New Roman"/>
          <w:sz w:val="24"/>
          <w:szCs w:val="24"/>
        </w:rPr>
        <w:t>)</w:t>
      </w:r>
      <w:r w:rsidR="00890DBD">
        <w:rPr>
          <w:rFonts w:ascii="Times New Roman" w:eastAsiaTheme="minorHAnsi" w:hAnsi="Times New Roman"/>
          <w:sz w:val="24"/>
          <w:szCs w:val="24"/>
        </w:rPr>
        <w:t>, а также в соответствии с</w:t>
      </w:r>
      <w:r w:rsidR="00823E1D" w:rsidRPr="00823E1D">
        <w:t xml:space="preserve"> </w:t>
      </w:r>
      <w:r w:rsidR="00823E1D">
        <w:t xml:space="preserve"> </w:t>
      </w:r>
      <w:r w:rsidR="00823E1D" w:rsidRPr="00823E1D">
        <w:rPr>
          <w:rFonts w:ascii="Times New Roman" w:eastAsiaTheme="minorHAnsi" w:hAnsi="Times New Roman"/>
          <w:sz w:val="24"/>
          <w:szCs w:val="24"/>
        </w:rPr>
        <w:t>Распоряжением Комитета по ценам и тарифам Московской области от 30.12.201</w:t>
      </w:r>
      <w:r w:rsidR="00C539D4">
        <w:rPr>
          <w:rFonts w:ascii="Times New Roman" w:eastAsiaTheme="minorHAnsi" w:hAnsi="Times New Roman"/>
          <w:sz w:val="24"/>
          <w:szCs w:val="24"/>
        </w:rPr>
        <w:t>5</w:t>
      </w:r>
      <w:r w:rsidR="00823E1D" w:rsidRPr="00823E1D">
        <w:rPr>
          <w:rFonts w:ascii="Times New Roman" w:eastAsiaTheme="minorHAnsi" w:hAnsi="Times New Roman"/>
          <w:sz w:val="24"/>
          <w:szCs w:val="24"/>
        </w:rPr>
        <w:t xml:space="preserve"> г. № </w:t>
      </w:r>
      <w:r w:rsidR="00C539D4">
        <w:rPr>
          <w:rFonts w:ascii="Times New Roman" w:eastAsiaTheme="minorHAnsi" w:hAnsi="Times New Roman"/>
          <w:sz w:val="24"/>
          <w:szCs w:val="24"/>
        </w:rPr>
        <w:t>192</w:t>
      </w:r>
      <w:r w:rsidR="00823E1D" w:rsidRPr="00823E1D">
        <w:rPr>
          <w:rFonts w:ascii="Times New Roman" w:eastAsiaTheme="minorHAnsi" w:hAnsi="Times New Roman"/>
          <w:sz w:val="24"/>
          <w:szCs w:val="24"/>
        </w:rPr>
        <w:t>-р</w:t>
      </w:r>
      <w:r w:rsidR="00EE4781">
        <w:rPr>
          <w:rFonts w:ascii="Times New Roman" w:eastAsiaTheme="minorHAnsi" w:hAnsi="Times New Roman"/>
          <w:sz w:val="24"/>
          <w:szCs w:val="24"/>
        </w:rPr>
        <w:t>.</w:t>
      </w:r>
      <w:r w:rsidR="00C539D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</w:p>
    <w:p w:rsidR="0002035A" w:rsidRDefault="0002035A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8919DE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8919DE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bookmarkStart w:id="0" w:name="_GoBack"/>
      <w:bookmarkEnd w:id="0"/>
    </w:p>
    <w:sectPr w:rsidR="008919DE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76"/>
    <w:rsid w:val="000035E5"/>
    <w:rsid w:val="0002035A"/>
    <w:rsid w:val="00026310"/>
    <w:rsid w:val="00051BC7"/>
    <w:rsid w:val="000945C0"/>
    <w:rsid w:val="00124A8C"/>
    <w:rsid w:val="00195728"/>
    <w:rsid w:val="001F030D"/>
    <w:rsid w:val="001F061E"/>
    <w:rsid w:val="001F2073"/>
    <w:rsid w:val="002016D2"/>
    <w:rsid w:val="0031253E"/>
    <w:rsid w:val="00337806"/>
    <w:rsid w:val="00350284"/>
    <w:rsid w:val="00373934"/>
    <w:rsid w:val="00394A07"/>
    <w:rsid w:val="003C3D6A"/>
    <w:rsid w:val="003C4942"/>
    <w:rsid w:val="003C4DE5"/>
    <w:rsid w:val="003E4043"/>
    <w:rsid w:val="0042036B"/>
    <w:rsid w:val="00445608"/>
    <w:rsid w:val="0045013B"/>
    <w:rsid w:val="004C6979"/>
    <w:rsid w:val="004F3078"/>
    <w:rsid w:val="005018DB"/>
    <w:rsid w:val="00510CEA"/>
    <w:rsid w:val="005336C5"/>
    <w:rsid w:val="00593C95"/>
    <w:rsid w:val="005F4CD6"/>
    <w:rsid w:val="0062691F"/>
    <w:rsid w:val="00630225"/>
    <w:rsid w:val="00680E37"/>
    <w:rsid w:val="0068458B"/>
    <w:rsid w:val="006A1366"/>
    <w:rsid w:val="00713FA5"/>
    <w:rsid w:val="007E7692"/>
    <w:rsid w:val="0080635A"/>
    <w:rsid w:val="00817453"/>
    <w:rsid w:val="00823E1D"/>
    <w:rsid w:val="0085033F"/>
    <w:rsid w:val="00861E09"/>
    <w:rsid w:val="00890DBD"/>
    <w:rsid w:val="0089133E"/>
    <w:rsid w:val="008919DE"/>
    <w:rsid w:val="008E7E18"/>
    <w:rsid w:val="009126B8"/>
    <w:rsid w:val="009446DC"/>
    <w:rsid w:val="00946FD4"/>
    <w:rsid w:val="00987C91"/>
    <w:rsid w:val="00991A6F"/>
    <w:rsid w:val="009949F9"/>
    <w:rsid w:val="009B49E2"/>
    <w:rsid w:val="009C2781"/>
    <w:rsid w:val="00A04046"/>
    <w:rsid w:val="00A31AF8"/>
    <w:rsid w:val="00A74527"/>
    <w:rsid w:val="00A87B44"/>
    <w:rsid w:val="00A97CF1"/>
    <w:rsid w:val="00AE228B"/>
    <w:rsid w:val="00AF7535"/>
    <w:rsid w:val="00B04531"/>
    <w:rsid w:val="00B47E71"/>
    <w:rsid w:val="00BC4143"/>
    <w:rsid w:val="00BF27E9"/>
    <w:rsid w:val="00C539D4"/>
    <w:rsid w:val="00C66B56"/>
    <w:rsid w:val="00CE5BB7"/>
    <w:rsid w:val="00CF4676"/>
    <w:rsid w:val="00D34B17"/>
    <w:rsid w:val="00E01BD0"/>
    <w:rsid w:val="00E07CE4"/>
    <w:rsid w:val="00E713A3"/>
    <w:rsid w:val="00E861C9"/>
    <w:rsid w:val="00EB287D"/>
    <w:rsid w:val="00EE4781"/>
    <w:rsid w:val="00F468D5"/>
    <w:rsid w:val="00F61AAD"/>
    <w:rsid w:val="00F9081F"/>
    <w:rsid w:val="00FC1495"/>
    <w:rsid w:val="00FC1AE1"/>
    <w:rsid w:val="00FC40DD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4FA14-6E19-4876-BFA5-A7872BF2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D467-22A3-430C-A2F8-B215AF57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Юрьевна</dc:creator>
  <cp:keywords/>
  <dc:description/>
  <cp:lastModifiedBy>Прожога Алёна Феликсовна</cp:lastModifiedBy>
  <cp:revision>3</cp:revision>
  <cp:lastPrinted>2016-04-11T13:17:00Z</cp:lastPrinted>
  <dcterms:created xsi:type="dcterms:W3CDTF">2016-12-26T15:46:00Z</dcterms:created>
  <dcterms:modified xsi:type="dcterms:W3CDTF">2016-12-26T15:47:00Z</dcterms:modified>
</cp:coreProperties>
</file>